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66D6D3">
      <w:pPr>
        <w:spacing w:line="375" w:lineRule="atLeast"/>
        <w:ind w:left="1"/>
        <w:jc w:val="center"/>
        <w:rPr>
          <w:rFonts w:hint="eastAsia" w:ascii="方正小标宋简体" w:hAnsi="方正小标宋简体" w:eastAsia="方正小标宋简体" w:cs="方正小标宋简体"/>
          <w:color w:val="333333"/>
          <w:sz w:val="32"/>
          <w:szCs w:val="21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21"/>
        </w:rPr>
        <w:t>丰泽区</w:t>
      </w: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21"/>
          <w:lang w:val="en-US" w:eastAsia="zh-CN"/>
        </w:rPr>
        <w:t>2026年秋中学信息科技“学课标、用课标、精设计”专题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21"/>
          <w:lang w:val="en-US" w:eastAsia="zh-CN"/>
        </w:rPr>
        <w:t>研训活动教学</w:t>
      </w: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21"/>
        </w:rPr>
        <w:t>设计</w:t>
      </w: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21"/>
          <w:lang w:val="en-US" w:eastAsia="zh-CN"/>
        </w:rPr>
        <w:t>说明</w:t>
      </w: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21"/>
        </w:rPr>
        <w:t>参考模板</w:t>
      </w:r>
    </w:p>
    <w:tbl>
      <w:tblPr>
        <w:tblStyle w:val="4"/>
        <w:tblpPr w:leftFromText="180" w:rightFromText="180" w:vertAnchor="text" w:horzAnchor="page" w:tblpX="1418" w:tblpY="63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96"/>
        <w:gridCol w:w="1184"/>
        <w:gridCol w:w="1551"/>
        <w:gridCol w:w="242"/>
        <w:gridCol w:w="7"/>
        <w:gridCol w:w="925"/>
        <w:gridCol w:w="620"/>
        <w:gridCol w:w="7"/>
        <w:gridCol w:w="2140"/>
        <w:gridCol w:w="2115"/>
        <w:gridCol w:w="3360"/>
      </w:tblGrid>
      <w:tr w14:paraId="13969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" w:hRule="atLeast"/>
        </w:trPr>
        <w:tc>
          <w:tcPr>
            <w:tcW w:w="1696" w:type="dxa"/>
            <w:vAlign w:val="center"/>
          </w:tcPr>
          <w:p w14:paraId="734C2F85">
            <w:pPr>
              <w:spacing w:before="300" w:after="100" w:afterAutospacing="1" w:line="375" w:lineRule="atLeast"/>
              <w:jc w:val="center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教师姓名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 xml:space="preserve"> </w:t>
            </w:r>
          </w:p>
        </w:tc>
        <w:tc>
          <w:tcPr>
            <w:tcW w:w="2735" w:type="dxa"/>
            <w:gridSpan w:val="2"/>
          </w:tcPr>
          <w:p w14:paraId="4CC7FD79">
            <w:pPr>
              <w:spacing w:before="300" w:after="100" w:afterAutospacing="1" w:line="375" w:lineRule="atLeast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 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 xml:space="preserve"> </w:t>
            </w:r>
          </w:p>
        </w:tc>
        <w:tc>
          <w:tcPr>
            <w:tcW w:w="1174" w:type="dxa"/>
            <w:gridSpan w:val="3"/>
          </w:tcPr>
          <w:p w14:paraId="2F53E40C">
            <w:pPr>
              <w:spacing w:before="300" w:after="100" w:afterAutospacing="1" w:line="375" w:lineRule="atLeast"/>
              <w:jc w:val="center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>学校</w:t>
            </w:r>
          </w:p>
        </w:tc>
        <w:tc>
          <w:tcPr>
            <w:tcW w:w="2767" w:type="dxa"/>
            <w:gridSpan w:val="3"/>
          </w:tcPr>
          <w:p w14:paraId="40607913">
            <w:pPr>
              <w:spacing w:before="300" w:after="100" w:afterAutospacing="1" w:line="375" w:lineRule="atLeast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 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vAlign w:val="center"/>
          </w:tcPr>
          <w:p w14:paraId="0D9C472E">
            <w:pPr>
              <w:spacing w:before="300" w:after="100" w:afterAutospacing="1" w:line="375" w:lineRule="atLeast"/>
              <w:jc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年级</w:t>
            </w:r>
          </w:p>
        </w:tc>
        <w:tc>
          <w:tcPr>
            <w:tcW w:w="3360" w:type="dxa"/>
          </w:tcPr>
          <w:p w14:paraId="661696B8">
            <w:pPr>
              <w:spacing w:before="300" w:after="100" w:afterAutospacing="1" w:line="375" w:lineRule="atLeas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42D02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" w:hRule="atLeast"/>
        </w:trPr>
        <w:tc>
          <w:tcPr>
            <w:tcW w:w="1696" w:type="dxa"/>
          </w:tcPr>
          <w:p w14:paraId="50B8F18E">
            <w:pPr>
              <w:spacing w:before="300" w:after="100" w:afterAutospacing="1" w:line="375" w:lineRule="atLeast"/>
              <w:jc w:val="center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>课题</w:t>
            </w:r>
          </w:p>
        </w:tc>
        <w:tc>
          <w:tcPr>
            <w:tcW w:w="2735" w:type="dxa"/>
            <w:gridSpan w:val="2"/>
          </w:tcPr>
          <w:p w14:paraId="6217C38E">
            <w:pPr>
              <w:spacing w:before="300" w:after="100" w:afterAutospacing="1" w:line="375" w:lineRule="atLeast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 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 xml:space="preserve"> </w:t>
            </w:r>
          </w:p>
        </w:tc>
        <w:tc>
          <w:tcPr>
            <w:tcW w:w="1174" w:type="dxa"/>
            <w:gridSpan w:val="3"/>
          </w:tcPr>
          <w:p w14:paraId="44B5F8CD">
            <w:pPr>
              <w:spacing w:before="300" w:after="100" w:afterAutospacing="1" w:line="375" w:lineRule="atLeast"/>
              <w:jc w:val="center"/>
              <w:rPr>
                <w:rFonts w:hint="default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环节</w:t>
            </w:r>
            <w:r>
              <w:rPr>
                <w:rFonts w:hint="eastAsia" w:cs="宋体"/>
                <w:color w:val="000000"/>
                <w:sz w:val="28"/>
                <w:szCs w:val="28"/>
                <w:lang w:val="en-US" w:eastAsia="zh-CN"/>
              </w:rPr>
              <w:t>简单描述</w:t>
            </w:r>
          </w:p>
        </w:tc>
        <w:tc>
          <w:tcPr>
            <w:tcW w:w="8242" w:type="dxa"/>
            <w:gridSpan w:val="5"/>
          </w:tcPr>
          <w:p w14:paraId="14169EA0">
            <w:pPr>
              <w:spacing w:before="300" w:after="100" w:afterAutospacing="1" w:line="375" w:lineRule="atLeast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 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 xml:space="preserve"> </w:t>
            </w:r>
          </w:p>
        </w:tc>
      </w:tr>
      <w:tr w14:paraId="75CE6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847" w:type="dxa"/>
            <w:gridSpan w:val="11"/>
            <w:vAlign w:val="center"/>
          </w:tcPr>
          <w:p w14:paraId="3D335847">
            <w:pPr>
              <w:spacing w:before="300" w:after="100" w:afterAutospacing="1" w:line="375" w:lineRule="atLeast"/>
              <w:ind w:hanging="6"/>
              <w:jc w:val="both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一、教材</w:t>
            </w:r>
            <w:r>
              <w:rPr>
                <w:rFonts w:hint="eastAsia" w:cs="宋体"/>
                <w:bCs/>
                <w:color w:val="000000"/>
                <w:sz w:val="28"/>
                <w:szCs w:val="28"/>
                <w:lang w:val="en-US" w:eastAsia="zh-CN"/>
              </w:rPr>
              <w:t>内容</w:t>
            </w: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分析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 xml:space="preserve"> ：</w:t>
            </w:r>
            <w:r>
              <w:rPr>
                <w:rFonts w:hint="eastAsia" w:cs="宋体"/>
                <w:color w:val="333333"/>
                <w:sz w:val="28"/>
                <w:szCs w:val="28"/>
                <w:lang w:eastAsia="zh-CN"/>
              </w:rPr>
              <w:t>（</w:t>
            </w:r>
            <w:r>
              <w:rPr>
                <w:rFonts w:hint="eastAsia" w:cs="宋体"/>
                <w:color w:val="333333"/>
                <w:sz w:val="28"/>
                <w:szCs w:val="28"/>
                <w:lang w:val="en-US" w:eastAsia="zh-CN"/>
              </w:rPr>
              <w:t>应说明</w:t>
            </w:r>
            <w:r>
              <w:rPr>
                <w:rFonts w:hint="eastAsia" w:cs="宋体"/>
                <w:color w:val="000000"/>
                <w:sz w:val="28"/>
                <w:lang w:val="en-US" w:eastAsia="zh-CN"/>
              </w:rPr>
              <w:t>环节内容来源，即取自教材</w:t>
            </w:r>
            <w:r>
              <w:rPr>
                <w:rFonts w:hint="eastAsia" w:ascii="宋体" w:hAnsi="宋体" w:eastAsia="宋体" w:cs="宋体"/>
                <w:color w:val="000000"/>
                <w:sz w:val="28"/>
              </w:rPr>
              <w:t>名称、学段/模块及</w:t>
            </w:r>
            <w:r>
              <w:rPr>
                <w:rFonts w:hint="eastAsia" w:cs="宋体"/>
                <w:color w:val="000000"/>
                <w:sz w:val="28"/>
                <w:lang w:val="en-US" w:eastAsia="zh-CN"/>
              </w:rPr>
              <w:t>其在本节教学内容</w:t>
            </w:r>
            <w:r>
              <w:rPr>
                <w:rFonts w:hint="eastAsia" w:ascii="宋体" w:hAnsi="宋体" w:eastAsia="宋体" w:cs="宋体"/>
                <w:color w:val="000000"/>
                <w:sz w:val="28"/>
              </w:rPr>
              <w:t>中的</w:t>
            </w:r>
            <w:r>
              <w:rPr>
                <w:rFonts w:hint="eastAsia" w:cs="宋体"/>
                <w:color w:val="000000"/>
                <w:sz w:val="28"/>
                <w:lang w:val="en-US" w:eastAsia="zh-CN"/>
              </w:rPr>
              <w:t>具体</w:t>
            </w:r>
            <w:r>
              <w:rPr>
                <w:rFonts w:hint="eastAsia" w:ascii="宋体" w:hAnsi="宋体" w:eastAsia="宋体" w:cs="宋体"/>
                <w:color w:val="000000"/>
                <w:sz w:val="28"/>
              </w:rPr>
              <w:t>地位，</w:t>
            </w:r>
            <w:r>
              <w:rPr>
                <w:rFonts w:hint="eastAsia" w:cs="宋体"/>
                <w:color w:val="000000"/>
                <w:sz w:val="28"/>
                <w:lang w:val="en-US" w:eastAsia="zh-CN"/>
              </w:rPr>
              <w:t>及其他部分关系）</w:t>
            </w:r>
          </w:p>
        </w:tc>
      </w:tr>
      <w:tr w14:paraId="60CD7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1" w:hRule="atLeast"/>
        </w:trPr>
        <w:tc>
          <w:tcPr>
            <w:tcW w:w="13847" w:type="dxa"/>
            <w:gridSpan w:val="11"/>
            <w:vAlign w:val="center"/>
          </w:tcPr>
          <w:p w14:paraId="09CED8B2">
            <w:pPr>
              <w:spacing w:before="300" w:after="100" w:afterAutospacing="1" w:line="375" w:lineRule="atLeast"/>
              <w:ind w:hanging="6"/>
              <w:jc w:val="both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二、学生分析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  <w:t xml:space="preserve"> ：</w:t>
            </w:r>
            <w:r>
              <w:rPr>
                <w:rFonts w:hint="eastAsia" w:cs="宋体"/>
                <w:color w:val="333333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8"/>
              </w:rPr>
              <w:t>学生认知起点、已有基础与个体差异</w:t>
            </w:r>
            <w:r>
              <w:rPr>
                <w:rFonts w:hint="eastAsia" w:cs="宋体"/>
                <w:color w:val="000000"/>
                <w:sz w:val="28"/>
                <w:lang w:eastAsia="zh-CN"/>
              </w:rPr>
              <w:t>）</w:t>
            </w:r>
          </w:p>
          <w:p w14:paraId="5F5BD37E">
            <w:pPr>
              <w:spacing w:before="300" w:after="100" w:afterAutospacing="1" w:line="375" w:lineRule="atLeast"/>
              <w:jc w:val="both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</w:p>
        </w:tc>
      </w:tr>
      <w:tr w14:paraId="49D21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6" w:hRule="atLeast"/>
        </w:trPr>
        <w:tc>
          <w:tcPr>
            <w:tcW w:w="13847" w:type="dxa"/>
            <w:gridSpan w:val="11"/>
            <w:vAlign w:val="center"/>
          </w:tcPr>
          <w:p w14:paraId="45522FEB">
            <w:pPr>
              <w:spacing w:before="300" w:after="100" w:afterAutospacing="1" w:line="375" w:lineRule="atLeast"/>
              <w:ind w:hanging="6"/>
              <w:jc w:val="both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8"/>
                <w:szCs w:val="28"/>
              </w:rPr>
              <w:t>三、教学目标：</w:t>
            </w:r>
            <w:r>
              <w:rPr>
                <w:rFonts w:hint="eastAsia" w:cs="宋体"/>
                <w:bCs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8"/>
              </w:rPr>
              <w:t>（基于核心素养</w:t>
            </w:r>
            <w:r>
              <w:rPr>
                <w:rFonts w:hint="eastAsia" w:cs="宋体"/>
                <w:color w:val="000000"/>
                <w:sz w:val="28"/>
                <w:lang w:val="en-US" w:eastAsia="zh-CN"/>
              </w:rPr>
              <w:t>目标</w:t>
            </w:r>
            <w:r>
              <w:rPr>
                <w:rFonts w:hint="eastAsia" w:ascii="宋体" w:hAnsi="宋体" w:eastAsia="宋体" w:cs="宋体"/>
                <w:color w:val="000000"/>
                <w:sz w:val="28"/>
              </w:rPr>
              <w:t>表述，</w:t>
            </w:r>
            <w:r>
              <w:rPr>
                <w:rFonts w:hint="eastAsia" w:cs="宋体"/>
                <w:color w:val="000000"/>
                <w:sz w:val="28"/>
                <w:lang w:val="en-US" w:eastAsia="zh-CN"/>
              </w:rPr>
              <w:t>应</w:t>
            </w:r>
            <w:r>
              <w:rPr>
                <w:rFonts w:hint="eastAsia" w:ascii="宋体" w:hAnsi="宋体" w:eastAsia="宋体" w:cs="宋体"/>
                <w:color w:val="000000"/>
                <w:sz w:val="28"/>
              </w:rPr>
              <w:t>可观察、可评价，</w:t>
            </w:r>
            <w:r>
              <w:rPr>
                <w:rFonts w:hint="eastAsia" w:cs="宋体"/>
                <w:color w:val="000000"/>
                <w:sz w:val="28"/>
                <w:lang w:val="en-US" w:eastAsia="zh-CN"/>
              </w:rPr>
              <w:t>且</w:t>
            </w:r>
            <w:r>
              <w:rPr>
                <w:rFonts w:hint="eastAsia" w:ascii="宋体" w:hAnsi="宋体" w:eastAsia="宋体" w:cs="宋体"/>
                <w:color w:val="000000"/>
                <w:sz w:val="28"/>
              </w:rPr>
              <w:t>与学业质量</w:t>
            </w:r>
            <w:r>
              <w:rPr>
                <w:rFonts w:hint="eastAsia" w:cs="宋体"/>
                <w:color w:val="000000"/>
                <w:sz w:val="28"/>
                <w:lang w:val="en-US" w:eastAsia="zh-CN"/>
              </w:rPr>
              <w:t>目标</w:t>
            </w:r>
            <w:r>
              <w:rPr>
                <w:rFonts w:hint="eastAsia" w:ascii="宋体" w:hAnsi="宋体" w:eastAsia="宋体" w:cs="宋体"/>
                <w:color w:val="000000"/>
                <w:sz w:val="28"/>
              </w:rPr>
              <w:t>相对应）</w:t>
            </w:r>
          </w:p>
          <w:p w14:paraId="7D0527BA">
            <w:pPr>
              <w:spacing w:before="300" w:after="100" w:afterAutospacing="1" w:line="375" w:lineRule="atLeast"/>
              <w:jc w:val="both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</w:p>
        </w:tc>
      </w:tr>
      <w:tr w14:paraId="063D9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2" w:hRule="atLeast"/>
        </w:trPr>
        <w:tc>
          <w:tcPr>
            <w:tcW w:w="13847" w:type="dxa"/>
            <w:gridSpan w:val="11"/>
            <w:vAlign w:val="center"/>
          </w:tcPr>
          <w:p w14:paraId="1AA68D05">
            <w:pPr>
              <w:spacing w:before="300" w:after="100" w:afterAutospacing="1" w:line="375" w:lineRule="atLeast"/>
              <w:jc w:val="both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cs="宋体"/>
                <w:color w:val="000000"/>
                <w:sz w:val="28"/>
                <w:szCs w:val="28"/>
                <w:lang w:val="en-US" w:eastAsia="zh-CN"/>
              </w:rPr>
              <w:t>四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、教学难点：</w:t>
            </w:r>
          </w:p>
          <w:p w14:paraId="027CBBCE">
            <w:pPr>
              <w:spacing w:before="300" w:after="100" w:afterAutospacing="1" w:line="375" w:lineRule="atLeast"/>
              <w:jc w:val="both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67CF6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 w:hRule="atLeast"/>
        </w:trPr>
        <w:tc>
          <w:tcPr>
            <w:tcW w:w="13847" w:type="dxa"/>
            <w:gridSpan w:val="11"/>
          </w:tcPr>
          <w:p w14:paraId="02CFD222">
            <w:pPr>
              <w:spacing w:before="300" w:after="100" w:afterAutospacing="1" w:line="375" w:lineRule="atLeast"/>
              <w:jc w:val="both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六：教学</w:t>
            </w:r>
            <w:r>
              <w:rPr>
                <w:rFonts w:hint="eastAsia" w:cs="宋体"/>
                <w:color w:val="000000"/>
                <w:sz w:val="28"/>
                <w:szCs w:val="28"/>
                <w:lang w:val="en-US" w:eastAsia="zh-CN"/>
              </w:rPr>
              <w:t>策略、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方法：</w:t>
            </w:r>
            <w:r>
              <w:rPr>
                <w:rFonts w:hint="eastAsia" w:cs="宋体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8"/>
              </w:rPr>
              <w:t>含AI赋能教学做法</w:t>
            </w:r>
            <w:r>
              <w:rPr>
                <w:rFonts w:hint="eastAsia" w:cs="宋体"/>
                <w:color w:val="000000"/>
                <w:sz w:val="28"/>
                <w:lang w:val="en-US" w:eastAsia="zh-CN"/>
              </w:rPr>
              <w:t>的简要介绍</w:t>
            </w:r>
            <w:r>
              <w:rPr>
                <w:rFonts w:hint="eastAsia" w:cs="宋体"/>
                <w:color w:val="000000"/>
                <w:sz w:val="28"/>
                <w:szCs w:val="28"/>
                <w:lang w:eastAsia="zh-CN"/>
              </w:rPr>
              <w:t>）</w:t>
            </w:r>
          </w:p>
          <w:p w14:paraId="79BD2207">
            <w:pPr>
              <w:spacing w:before="300" w:after="100" w:afterAutospacing="1" w:line="375" w:lineRule="atLeast"/>
              <w:jc w:val="both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10399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1" w:hRule="atLeast"/>
        </w:trPr>
        <w:tc>
          <w:tcPr>
            <w:tcW w:w="2880" w:type="dxa"/>
            <w:gridSpan w:val="2"/>
            <w:vAlign w:val="center"/>
          </w:tcPr>
          <w:p w14:paraId="2E10A6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0" w:after="100" w:afterAutospacing="1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教学环节</w:t>
            </w:r>
          </w:p>
          <w:p w14:paraId="4FD2B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0" w:after="100" w:afterAutospacing="1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（如：导入、讲授、复习、训练、实验、研讨、探究、评价、建构）</w:t>
            </w:r>
          </w:p>
        </w:tc>
        <w:tc>
          <w:tcPr>
            <w:tcW w:w="1793" w:type="dxa"/>
            <w:gridSpan w:val="2"/>
            <w:vAlign w:val="center"/>
          </w:tcPr>
          <w:p w14:paraId="615563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0" w:after="100" w:afterAutospacing="1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教师活动</w:t>
            </w:r>
          </w:p>
        </w:tc>
        <w:tc>
          <w:tcPr>
            <w:tcW w:w="1559" w:type="dxa"/>
            <w:gridSpan w:val="4"/>
            <w:vAlign w:val="center"/>
          </w:tcPr>
          <w:p w14:paraId="23DDD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0" w:after="100" w:afterAutospacing="1" w:line="460" w:lineRule="exact"/>
              <w:jc w:val="center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学生活动</w:t>
            </w:r>
          </w:p>
        </w:tc>
        <w:tc>
          <w:tcPr>
            <w:tcW w:w="7615" w:type="dxa"/>
            <w:gridSpan w:val="3"/>
            <w:vAlign w:val="center"/>
          </w:tcPr>
          <w:p w14:paraId="0F88D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 w:firstLine="720" w:firstLineChars="0"/>
              <w:jc w:val="both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</w:rPr>
              <w:t>设计</w:t>
            </w: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lang w:val="en-US" w:eastAsia="zh-CN"/>
              </w:rPr>
              <w:t>说明，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主要包括：</w:t>
            </w:r>
          </w:p>
          <w:p w14:paraId="121B8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 w:firstLine="720" w:firstLineChars="0"/>
              <w:jc w:val="both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lang w:val="en-US" w:eastAsia="zh-CN"/>
              </w:rPr>
              <w:t>课标依据说明：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引用新课标具体条目原文，标明出处，说明该条目与核心素养、内容主线、学业质量的对应关系；</w:t>
            </w:r>
          </w:p>
          <w:p w14:paraId="05965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 w:firstLine="720" w:firstLineChars="0"/>
              <w:jc w:val="both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lang w:val="en-US" w:eastAsia="zh-CN"/>
              </w:rPr>
              <w:t>学情与目标：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分析学生认知起点，明确可观察、可评价的教学目标；</w:t>
            </w:r>
          </w:p>
          <w:p w14:paraId="68369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 w:firstLine="720" w:firstLineChars="0"/>
              <w:jc w:val="both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lang w:val="en-US" w:eastAsia="zh-CN"/>
              </w:rPr>
              <w:t>设计思路与实施步骤：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详细说明情境、任务、活动、支架、时间分配及师生互动；</w:t>
            </w:r>
          </w:p>
          <w:p w14:paraId="788CD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 w:firstLine="720" w:firstLineChars="0"/>
              <w:jc w:val="both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lang w:val="en-US" w:eastAsia="zh-CN"/>
              </w:rPr>
              <w:t>数字工具、资源与环境：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说明选用平台</w:t>
            </w:r>
            <w:r>
              <w:rPr>
                <w:rFonts w:hint="eastAsia" w:cs="宋体"/>
                <w:color w:val="333333"/>
                <w:sz w:val="28"/>
                <w:szCs w:val="28"/>
                <w:lang w:val="en-US" w:eastAsia="zh-CN"/>
              </w:rPr>
              <w:t>技术工具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、设备、资源及实验环境；</w:t>
            </w:r>
          </w:p>
          <w:p w14:paraId="2C49F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 w:firstLine="720" w:firstLineChars="0"/>
              <w:jc w:val="both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lang w:val="en-US" w:eastAsia="zh-CN"/>
              </w:rPr>
              <w:t>评价设计：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说明“教—学—评”一致性、过程性评价、评价量规；</w:t>
            </w:r>
          </w:p>
          <w:p w14:paraId="074E1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 w:firstLine="720" w:firstLineChars="0"/>
              <w:jc w:val="both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lang w:val="en-US" w:eastAsia="zh-CN"/>
              </w:rPr>
              <w:t>问题预判与应对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策略：分类预判</w:t>
            </w:r>
            <w:r>
              <w:rPr>
                <w:rFonts w:hint="eastAsia" w:cs="宋体"/>
                <w:color w:val="333333"/>
                <w:sz w:val="28"/>
                <w:szCs w:val="28"/>
                <w:lang w:val="en-US" w:eastAsia="zh-CN"/>
              </w:rPr>
              <w:t>教学中可能在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认知、技术、伦理、差异等</w:t>
            </w:r>
            <w:r>
              <w:rPr>
                <w:rFonts w:hint="eastAsia" w:cs="宋体"/>
                <w:color w:val="333333"/>
                <w:sz w:val="28"/>
                <w:szCs w:val="28"/>
                <w:lang w:val="en-US" w:eastAsia="zh-CN"/>
              </w:rPr>
              <w:t>可能存在的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问题，并</w:t>
            </w:r>
            <w:r>
              <w:rPr>
                <w:rFonts w:hint="eastAsia" w:cs="宋体"/>
                <w:color w:val="333333"/>
                <w:sz w:val="28"/>
                <w:szCs w:val="28"/>
                <w:lang w:val="en-US" w:eastAsia="zh-CN"/>
              </w:rPr>
              <w:t>预设性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提出具体措施；</w:t>
            </w:r>
          </w:p>
          <w:p w14:paraId="5085DF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 w:firstLine="720" w:firstLineChars="0"/>
              <w:jc w:val="both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lang w:val="en-US" w:eastAsia="zh-CN"/>
              </w:rPr>
              <w:t>课程思政与信息社会责任：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说明如何融入自主可控、国家安全、科技伦理、知识产权等；</w:t>
            </w:r>
          </w:p>
          <w:p w14:paraId="5E446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 w:firstLine="720" w:firstLineChars="0"/>
              <w:jc w:val="both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lang w:val="en-US" w:eastAsia="zh-CN"/>
              </w:rPr>
              <w:t>创新亮点与迁移拓展：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说明创新点、课标依据及可推广价值；</w:t>
            </w:r>
          </w:p>
          <w:p w14:paraId="220EB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 w:firstLine="720" w:firstLineChars="0"/>
              <w:jc w:val="both"/>
              <w:textAlignment w:val="auto"/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28"/>
                <w:szCs w:val="28"/>
                <w:lang w:val="en-US" w:eastAsia="zh-CN"/>
              </w:rPr>
              <w:t>反思迭代：</w:t>
            </w:r>
            <w:r>
              <w:rPr>
                <w:rFonts w:hint="eastAsia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  <w:t>说明“设计—实践—反思—改进”的循环。</w:t>
            </w:r>
          </w:p>
          <w:p w14:paraId="12A0B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Autospacing="0" w:line="400" w:lineRule="exact"/>
              <w:ind w:left="0" w:leftChars="0" w:firstLine="720" w:firstLineChars="0"/>
              <w:jc w:val="both"/>
              <w:textAlignment w:val="auto"/>
              <w:rPr>
                <w:rFonts w:hint="default" w:ascii="宋体" w:hAnsi="宋体" w:eastAsia="宋体" w:cs="宋体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cs="宋体"/>
                <w:b/>
                <w:bCs/>
                <w:color w:val="333333"/>
                <w:sz w:val="28"/>
                <w:szCs w:val="28"/>
                <w:lang w:val="en-US" w:eastAsia="zh-CN"/>
              </w:rPr>
              <w:t>其他认为需要说明的内容</w:t>
            </w:r>
          </w:p>
        </w:tc>
      </w:tr>
      <w:tr w14:paraId="2CC9E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9" w:hRule="atLeast"/>
        </w:trPr>
        <w:tc>
          <w:tcPr>
            <w:tcW w:w="2880" w:type="dxa"/>
            <w:gridSpan w:val="2"/>
            <w:vAlign w:val="center"/>
          </w:tcPr>
          <w:p w14:paraId="0C64D220">
            <w:pPr>
              <w:spacing w:before="300" w:after="100" w:afterAutospacing="1" w:line="375" w:lineRule="atLeast"/>
              <w:ind w:hanging="6"/>
              <w:jc w:val="both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</w:p>
        </w:tc>
        <w:tc>
          <w:tcPr>
            <w:tcW w:w="1800" w:type="dxa"/>
            <w:gridSpan w:val="3"/>
            <w:vAlign w:val="center"/>
          </w:tcPr>
          <w:p w14:paraId="12DDC788">
            <w:pPr>
              <w:spacing w:before="300" w:after="100" w:afterAutospacing="1" w:line="375" w:lineRule="atLeast"/>
              <w:jc w:val="both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613C5ED5">
            <w:pPr>
              <w:spacing w:before="300" w:after="100" w:afterAutospacing="1" w:line="375" w:lineRule="atLeast"/>
              <w:jc w:val="both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</w:p>
        </w:tc>
        <w:tc>
          <w:tcPr>
            <w:tcW w:w="7622" w:type="dxa"/>
            <w:gridSpan w:val="4"/>
            <w:vAlign w:val="center"/>
          </w:tcPr>
          <w:p w14:paraId="640EF495">
            <w:pPr>
              <w:spacing w:before="300" w:after="100" w:afterAutospacing="1" w:line="375" w:lineRule="atLeast"/>
              <w:jc w:val="both"/>
              <w:rPr>
                <w:rFonts w:hint="eastAsia" w:ascii="宋体" w:hAnsi="宋体" w:eastAsia="宋体" w:cs="宋体"/>
                <w:color w:val="333333"/>
                <w:sz w:val="28"/>
                <w:szCs w:val="28"/>
              </w:rPr>
            </w:pPr>
          </w:p>
        </w:tc>
      </w:tr>
    </w:tbl>
    <w:p w14:paraId="605AF00C">
      <w:pPr>
        <w:rPr>
          <w:rFonts w:hint="eastAsia" w:ascii="宋体" w:hAnsi="宋体" w:eastAsia="宋体" w:cs="宋体"/>
          <w:b/>
          <w:kern w:val="0"/>
          <w:sz w:val="32"/>
          <w:szCs w:val="32"/>
          <w:lang w:val="en-US" w:eastAsia="zh-CN" w:bidi="ar-SA"/>
        </w:rPr>
      </w:pPr>
    </w:p>
    <w:p w14:paraId="7D0527BB">
      <w:pPr>
        <w:rPr>
          <w:rFonts w:ascii="宋体" w:hAnsi="宋体" w:eastAsia="宋体" w:cs="宋体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0"/>
          <w:sz w:val="32"/>
          <w:szCs w:val="32"/>
          <w:lang w:val="en-US" w:eastAsia="zh-CN" w:bidi="ar-SA"/>
        </w:rPr>
        <w:t>填写说明：</w:t>
      </w:r>
    </w:p>
    <w:p w14:paraId="275A83D1">
      <w:pPr>
        <w:numPr>
          <w:numId w:val="0"/>
        </w:numPr>
        <w:ind w:leftChars="0"/>
        <w:rPr>
          <w:rFonts w:ascii="宋体" w:hAnsi="宋体" w:eastAsia="宋体" w:cs="宋体"/>
          <w:kern w:val="0"/>
          <w:sz w:val="28"/>
          <w:szCs w:val="28"/>
          <w:lang w:val="en-US" w:eastAsia="zh-CN" w:bidi="ar-SA"/>
        </w:rPr>
      </w:pPr>
      <w:r>
        <w:rPr>
          <w:rFonts w:hint="eastAsia" w:cs="宋体"/>
          <w:kern w:val="0"/>
          <w:sz w:val="28"/>
          <w:szCs w:val="28"/>
          <w:lang w:val="en-US" w:eastAsia="zh-CN" w:bidi="ar-SA"/>
        </w:rPr>
        <w:t>1、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  <w:t>本</w:t>
      </w:r>
      <w:r>
        <w:rPr>
          <w:rFonts w:hint="eastAsia" w:cs="宋体"/>
          <w:kern w:val="0"/>
          <w:sz w:val="28"/>
          <w:szCs w:val="28"/>
          <w:lang w:val="en-US" w:eastAsia="zh-CN" w:bidi="ar-SA"/>
        </w:rPr>
        <w:t>设计说明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  <w:t>聚焦一个具体教学环节（如某一课时的导入环节、探究活动环节、项目实践环节或评价环节等，无需呈现完整课时</w:t>
      </w:r>
      <w:r>
        <w:rPr>
          <w:rFonts w:hint="eastAsia" w:cs="宋体"/>
          <w:kern w:val="0"/>
          <w:sz w:val="28"/>
          <w:szCs w:val="28"/>
          <w:lang w:val="en-US" w:eastAsia="zh-CN" w:bidi="ar-SA"/>
        </w:rPr>
        <w:t>设计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  <w:t>；</w:t>
      </w:r>
    </w:p>
    <w:p w14:paraId="7D0527BD">
      <w:pPr>
        <w:numPr>
          <w:numId w:val="0"/>
        </w:numPr>
        <w:ind w:leftChars="0"/>
        <w:rPr>
          <w:rFonts w:ascii="宋体" w:hAnsi="宋体" w:eastAsia="宋体" w:cs="宋体"/>
          <w:kern w:val="0"/>
          <w:sz w:val="28"/>
          <w:szCs w:val="28"/>
          <w:lang w:val="en-US" w:eastAsia="zh-CN" w:bidi="ar-SA"/>
        </w:rPr>
      </w:pPr>
      <w:r>
        <w:rPr>
          <w:rFonts w:hint="eastAsia" w:cs="宋体"/>
          <w:kern w:val="0"/>
          <w:sz w:val="28"/>
          <w:szCs w:val="28"/>
          <w:lang w:val="en-US" w:eastAsia="zh-CN" w:bidi="ar-SA"/>
        </w:rPr>
        <w:t>2、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-SA"/>
        </w:rPr>
        <w:t>“课标依据”须引用课标原文并标明出处，示例：《义务教育信息科技课程标准（2022年版2025年修订）》第四学段“人工智能与智慧社会”模块【内容要求】：“……”；《普通高中信息科技课程标准（2017年版2025年修订）》必修模块1“数据与计算”【内容要求】1.6：“……”。</w:t>
      </w:r>
    </w:p>
    <w:p w14:paraId="1B43831A">
      <w:pPr>
        <w:rPr>
          <w:rFonts w:hint="eastAsia"/>
        </w:rPr>
      </w:pPr>
    </w:p>
    <w:p w14:paraId="675738BB">
      <w:pPr>
        <w:rPr>
          <w:rFonts w:hint="eastAsia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2CCF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4875E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4875E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630"/>
    <w:rsid w:val="000668D9"/>
    <w:rsid w:val="00146368"/>
    <w:rsid w:val="001B242E"/>
    <w:rsid w:val="001D61E3"/>
    <w:rsid w:val="002B53CB"/>
    <w:rsid w:val="0039621D"/>
    <w:rsid w:val="00417484"/>
    <w:rsid w:val="00523F16"/>
    <w:rsid w:val="005F037B"/>
    <w:rsid w:val="0069271B"/>
    <w:rsid w:val="006B0498"/>
    <w:rsid w:val="008638E2"/>
    <w:rsid w:val="009027D1"/>
    <w:rsid w:val="009228D5"/>
    <w:rsid w:val="00971755"/>
    <w:rsid w:val="00AD57FA"/>
    <w:rsid w:val="00BB38DD"/>
    <w:rsid w:val="00BC1630"/>
    <w:rsid w:val="00D43376"/>
    <w:rsid w:val="00DD3CD8"/>
    <w:rsid w:val="00DD447F"/>
    <w:rsid w:val="04207E21"/>
    <w:rsid w:val="05D2233E"/>
    <w:rsid w:val="0B51038F"/>
    <w:rsid w:val="15CE39AC"/>
    <w:rsid w:val="171C091C"/>
    <w:rsid w:val="1ADF05DE"/>
    <w:rsid w:val="1B373F76"/>
    <w:rsid w:val="1C1E1DBC"/>
    <w:rsid w:val="1DAB47A7"/>
    <w:rsid w:val="1DC54C10"/>
    <w:rsid w:val="20692E24"/>
    <w:rsid w:val="20D44015"/>
    <w:rsid w:val="20F6226D"/>
    <w:rsid w:val="2C091017"/>
    <w:rsid w:val="2D660790"/>
    <w:rsid w:val="32E0039F"/>
    <w:rsid w:val="35617273"/>
    <w:rsid w:val="35A869E3"/>
    <w:rsid w:val="364137D4"/>
    <w:rsid w:val="3D4C3459"/>
    <w:rsid w:val="41AA074E"/>
    <w:rsid w:val="448206A3"/>
    <w:rsid w:val="45764C68"/>
    <w:rsid w:val="495A5150"/>
    <w:rsid w:val="4B4B73DD"/>
    <w:rsid w:val="50857803"/>
    <w:rsid w:val="511B6F73"/>
    <w:rsid w:val="5D86286D"/>
    <w:rsid w:val="5EA8480F"/>
    <w:rsid w:val="619568CD"/>
    <w:rsid w:val="61C96577"/>
    <w:rsid w:val="636E072A"/>
    <w:rsid w:val="67637236"/>
    <w:rsid w:val="6A697933"/>
    <w:rsid w:val="731C685A"/>
    <w:rsid w:val="743326A2"/>
    <w:rsid w:val="75C13CDD"/>
    <w:rsid w:val="77FA201F"/>
    <w:rsid w:val="78056103"/>
    <w:rsid w:val="783E33C3"/>
    <w:rsid w:val="7BE102B6"/>
    <w:rsid w:val="7D8A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宋体" w:hAnsi="宋体" w:eastAsia="宋体" w:cs="宋体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484</Words>
  <Characters>487</Characters>
  <Lines>1</Lines>
  <Paragraphs>1</Paragraphs>
  <TotalTime>3</TotalTime>
  <ScaleCrop>false</ScaleCrop>
  <LinksUpToDate>false</LinksUpToDate>
  <CharactersWithSpaces>499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2020-10-29T09:00:00Z</dcterms:created>
  <dc:creator>微软用户</dc:creator>
  <cp:lastModifiedBy>于帆</cp:lastModifiedBy>
  <dcterms:modified xsi:type="dcterms:W3CDTF">2026-09-13T15:19:02Z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eyJoZGlkIjoiYTE1YjQxNzdiNWMzYjc3YjgyM2MzYTY5NTRkZmI0NjciLCJ1c2VySWQiOiIyNDQwNTA4ODgifQ==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95627810CF7C4E6FA824494B0AC13B8E_12</vt:lpwstr>
  </property>
</Properties>
</file>